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C11B" w14:textId="77777777" w:rsidR="001F0B4D" w:rsidRPr="00FE0833" w:rsidRDefault="001F0B4D" w:rsidP="001F0B4D">
      <w:pPr>
        <w:jc w:val="center"/>
        <w:rPr>
          <w:b/>
          <w:sz w:val="32"/>
          <w:szCs w:val="32"/>
        </w:rPr>
      </w:pPr>
      <w:r w:rsidRPr="00FE0833">
        <w:rPr>
          <w:b/>
          <w:sz w:val="32"/>
          <w:szCs w:val="32"/>
        </w:rPr>
        <w:t>O Z N Á M E N Í</w:t>
      </w:r>
    </w:p>
    <w:p w14:paraId="4BF31574" w14:textId="77777777" w:rsidR="001F0B4D" w:rsidRPr="00FE0833" w:rsidRDefault="001F0B4D" w:rsidP="001F0B4D">
      <w:pPr>
        <w:jc w:val="center"/>
        <w:rPr>
          <w:b/>
        </w:rPr>
      </w:pPr>
      <w:r w:rsidRPr="00FE0833">
        <w:rPr>
          <w:b/>
        </w:rPr>
        <w:t xml:space="preserve"> </w:t>
      </w:r>
    </w:p>
    <w:p w14:paraId="478AEBAA" w14:textId="686DF306" w:rsidR="001F0B4D" w:rsidRPr="0038248D" w:rsidRDefault="00695D54" w:rsidP="001F0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Mšeno</w:t>
      </w:r>
      <w:r w:rsidR="001F0B4D" w:rsidRPr="0038248D">
        <w:rPr>
          <w:rFonts w:ascii="Arial" w:hAnsi="Arial" w:cs="Arial"/>
          <w:sz w:val="22"/>
          <w:szCs w:val="22"/>
        </w:rPr>
        <w:t xml:space="preserve"> v souladu s ustanovením § 38 </w:t>
      </w:r>
      <w:r w:rsidR="001F0B4D" w:rsidRPr="0038248D">
        <w:rPr>
          <w:rFonts w:ascii="Arial" w:hAnsi="Arial" w:cs="Arial"/>
          <w:sz w:val="22"/>
          <w:szCs w:val="22"/>
          <w:lang w:eastAsia="en-US"/>
        </w:rPr>
        <w:t>zákona č. 256/2013 Sb., o katastru nemovitostí (katastrální zákon)</w:t>
      </w:r>
      <w:r w:rsidR="001F0B4D" w:rsidRPr="0038248D">
        <w:rPr>
          <w:rFonts w:ascii="Arial" w:hAnsi="Arial" w:cs="Arial"/>
          <w:sz w:val="22"/>
          <w:szCs w:val="22"/>
        </w:rPr>
        <w:t xml:space="preserve"> a na základě oznámení Státního pozemkového úřadu, Krajského pozemkového pro Středočeský kraj a hlavní město Praha, Pobočky Mělník, č.j. </w:t>
      </w:r>
      <w:r w:rsidRPr="00695D54">
        <w:rPr>
          <w:rFonts w:ascii="Arial" w:hAnsi="Arial" w:cs="Arial"/>
          <w:sz w:val="22"/>
          <w:szCs w:val="22"/>
        </w:rPr>
        <w:t>SPU 414222/2022</w:t>
      </w:r>
      <w:r>
        <w:rPr>
          <w:rFonts w:ascii="Arial" w:hAnsi="Arial" w:cs="Arial"/>
          <w:sz w:val="22"/>
          <w:szCs w:val="22"/>
        </w:rPr>
        <w:t xml:space="preserve"> </w:t>
      </w:r>
      <w:r w:rsidR="001F0B4D" w:rsidRPr="0038248D">
        <w:rPr>
          <w:rFonts w:ascii="Arial" w:hAnsi="Arial" w:cs="Arial"/>
          <w:sz w:val="22"/>
          <w:szCs w:val="22"/>
        </w:rPr>
        <w:t xml:space="preserve">ze </w:t>
      </w:r>
      <w:r w:rsidR="001F0B4D" w:rsidRPr="00434A5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10. 11. 2022</w:t>
      </w:r>
      <w:r w:rsidR="001F0B4D" w:rsidRPr="0038248D">
        <w:rPr>
          <w:rFonts w:ascii="Arial" w:hAnsi="Arial" w:cs="Arial"/>
          <w:sz w:val="22"/>
          <w:szCs w:val="22"/>
        </w:rPr>
        <w:t xml:space="preserve">   </w:t>
      </w:r>
    </w:p>
    <w:p w14:paraId="377FC182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14:paraId="3B2F6F85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14:paraId="25D60C3F" w14:textId="77777777" w:rsidR="001F0B4D" w:rsidRPr="0038248D" w:rsidRDefault="001F0B4D" w:rsidP="001F0B4D">
      <w:pPr>
        <w:jc w:val="center"/>
        <w:rPr>
          <w:rFonts w:ascii="Arial" w:hAnsi="Arial" w:cs="Arial"/>
          <w:b/>
          <w:sz w:val="22"/>
          <w:szCs w:val="22"/>
        </w:rPr>
      </w:pPr>
      <w:r w:rsidRPr="0038248D">
        <w:rPr>
          <w:rFonts w:ascii="Arial" w:hAnsi="Arial" w:cs="Arial"/>
          <w:b/>
          <w:sz w:val="22"/>
          <w:szCs w:val="22"/>
        </w:rPr>
        <w:t>v y h l a š u j e,</w:t>
      </w:r>
    </w:p>
    <w:p w14:paraId="1FA098F1" w14:textId="77777777" w:rsidR="001F0B4D" w:rsidRPr="0038248D" w:rsidRDefault="001F0B4D" w:rsidP="001F0B4D">
      <w:pPr>
        <w:jc w:val="center"/>
        <w:rPr>
          <w:rFonts w:ascii="Arial" w:hAnsi="Arial" w:cs="Arial"/>
          <w:b/>
          <w:sz w:val="22"/>
          <w:szCs w:val="22"/>
        </w:rPr>
      </w:pPr>
      <w:r w:rsidRPr="0038248D">
        <w:rPr>
          <w:rFonts w:ascii="Arial" w:hAnsi="Arial" w:cs="Arial"/>
          <w:b/>
          <w:sz w:val="22"/>
          <w:szCs w:val="22"/>
        </w:rPr>
        <w:t xml:space="preserve"> </w:t>
      </w:r>
    </w:p>
    <w:p w14:paraId="6F181709" w14:textId="77777777" w:rsidR="001F0B4D" w:rsidRPr="0038248D" w:rsidRDefault="001F0B4D" w:rsidP="001F0B4D">
      <w:pPr>
        <w:jc w:val="center"/>
        <w:rPr>
          <w:rFonts w:ascii="Arial" w:hAnsi="Arial" w:cs="Arial"/>
          <w:b/>
          <w:sz w:val="22"/>
          <w:szCs w:val="22"/>
        </w:rPr>
      </w:pPr>
      <w:r w:rsidRPr="0038248D">
        <w:rPr>
          <w:rFonts w:ascii="Arial" w:hAnsi="Arial" w:cs="Arial"/>
          <w:b/>
          <w:sz w:val="22"/>
          <w:szCs w:val="22"/>
        </w:rPr>
        <w:t xml:space="preserve"> </w:t>
      </w:r>
    </w:p>
    <w:p w14:paraId="0A38AB09" w14:textId="5EC24E36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že </w:t>
      </w:r>
      <w:r w:rsidR="004F6C1C">
        <w:rPr>
          <w:rFonts w:ascii="Arial" w:hAnsi="Arial" w:cs="Arial"/>
          <w:sz w:val="22"/>
          <w:szCs w:val="22"/>
        </w:rPr>
        <w:t>na</w:t>
      </w:r>
      <w:r w:rsidRPr="0038248D">
        <w:rPr>
          <w:rFonts w:ascii="Arial" w:hAnsi="Arial" w:cs="Arial"/>
          <w:sz w:val="22"/>
          <w:szCs w:val="22"/>
        </w:rPr>
        <w:t xml:space="preserve"> část</w:t>
      </w:r>
      <w:r w:rsidR="00B4751F">
        <w:rPr>
          <w:rFonts w:ascii="Arial" w:hAnsi="Arial" w:cs="Arial"/>
          <w:sz w:val="22"/>
          <w:szCs w:val="22"/>
        </w:rPr>
        <w:t>i</w:t>
      </w:r>
      <w:r w:rsidRPr="0038248D">
        <w:rPr>
          <w:rFonts w:ascii="Arial" w:hAnsi="Arial" w:cs="Arial"/>
          <w:sz w:val="22"/>
          <w:szCs w:val="22"/>
        </w:rPr>
        <w:t xml:space="preserve"> katastrální</w:t>
      </w:r>
      <w:r w:rsidR="00B4751F">
        <w:rPr>
          <w:rFonts w:ascii="Arial" w:hAnsi="Arial" w:cs="Arial"/>
          <w:sz w:val="22"/>
          <w:szCs w:val="22"/>
        </w:rPr>
        <w:t>ho</w:t>
      </w:r>
      <w:r w:rsidRPr="0038248D">
        <w:rPr>
          <w:rFonts w:ascii="Arial" w:hAnsi="Arial" w:cs="Arial"/>
          <w:sz w:val="22"/>
          <w:szCs w:val="22"/>
        </w:rPr>
        <w:t xml:space="preserve"> území </w:t>
      </w:r>
      <w:r w:rsidR="00B858F6">
        <w:rPr>
          <w:rFonts w:ascii="Arial" w:hAnsi="Arial" w:cs="Arial"/>
          <w:sz w:val="22"/>
          <w:szCs w:val="22"/>
        </w:rPr>
        <w:t>Mšeno a Sedlec u Mšena</w:t>
      </w:r>
      <w:r w:rsidR="00BF304B">
        <w:rPr>
          <w:rFonts w:ascii="Arial" w:hAnsi="Arial" w:cs="Arial"/>
          <w:sz w:val="22"/>
          <w:szCs w:val="22"/>
        </w:rPr>
        <w:t xml:space="preserve"> </w:t>
      </w:r>
      <w:r w:rsidRPr="0038248D">
        <w:rPr>
          <w:rFonts w:ascii="Arial" w:hAnsi="Arial" w:cs="Arial"/>
          <w:sz w:val="22"/>
          <w:szCs w:val="22"/>
        </w:rPr>
        <w:t>byla zahájena obnova katastrálního operátu na podkladě výsledků komplexních pozemkových úprav</w:t>
      </w:r>
      <w:r w:rsidR="00BF304B">
        <w:rPr>
          <w:rFonts w:ascii="Arial" w:hAnsi="Arial" w:cs="Arial"/>
          <w:sz w:val="22"/>
          <w:szCs w:val="22"/>
        </w:rPr>
        <w:t xml:space="preserve"> v k.ú. </w:t>
      </w:r>
      <w:r w:rsidR="00B858F6">
        <w:rPr>
          <w:rFonts w:ascii="Arial" w:hAnsi="Arial" w:cs="Arial"/>
          <w:sz w:val="22"/>
          <w:szCs w:val="22"/>
        </w:rPr>
        <w:t xml:space="preserve">Mšeno </w:t>
      </w:r>
      <w:r w:rsidR="00BF304B">
        <w:rPr>
          <w:rFonts w:ascii="Arial" w:hAnsi="Arial" w:cs="Arial"/>
          <w:sz w:val="22"/>
          <w:szCs w:val="22"/>
        </w:rPr>
        <w:t>včetně část</w:t>
      </w:r>
      <w:r w:rsidR="00B858F6">
        <w:rPr>
          <w:rFonts w:ascii="Arial" w:hAnsi="Arial" w:cs="Arial"/>
          <w:sz w:val="22"/>
          <w:szCs w:val="22"/>
        </w:rPr>
        <w:t>í</w:t>
      </w:r>
      <w:r w:rsidR="00BF304B">
        <w:rPr>
          <w:rFonts w:ascii="Arial" w:hAnsi="Arial" w:cs="Arial"/>
          <w:sz w:val="22"/>
          <w:szCs w:val="22"/>
        </w:rPr>
        <w:t xml:space="preserve"> k.ú. </w:t>
      </w:r>
      <w:r w:rsidR="004D3E75">
        <w:rPr>
          <w:rFonts w:ascii="Arial" w:hAnsi="Arial" w:cs="Arial"/>
          <w:sz w:val="22"/>
          <w:szCs w:val="22"/>
        </w:rPr>
        <w:t>Libovice, Sedlec u Mšena a Stránka u Mšena.</w:t>
      </w:r>
    </w:p>
    <w:p w14:paraId="3B062800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14:paraId="76395686" w14:textId="34E9C8C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  <w:lang w:eastAsia="en-US"/>
        </w:rPr>
        <w:t xml:space="preserve">V rámci obnovy katastrálního operátu bude </w:t>
      </w:r>
      <w:r w:rsidR="004D3E75">
        <w:rPr>
          <w:rFonts w:ascii="Arial" w:hAnsi="Arial" w:cs="Arial"/>
          <w:sz w:val="22"/>
          <w:szCs w:val="22"/>
          <w:lang w:eastAsia="en-US"/>
        </w:rPr>
        <w:t>ve dnech</w:t>
      </w:r>
      <w:r w:rsidRPr="00FA14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D3E75">
        <w:rPr>
          <w:rFonts w:ascii="Arial" w:hAnsi="Arial" w:cs="Arial"/>
          <w:b/>
          <w:sz w:val="22"/>
          <w:szCs w:val="22"/>
          <w:lang w:eastAsia="en-US"/>
        </w:rPr>
        <w:t>13. – 14. 12. 2022</w:t>
      </w:r>
      <w:r w:rsidRPr="00FA14B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A14B6">
        <w:rPr>
          <w:rFonts w:ascii="Arial" w:hAnsi="Arial" w:cs="Arial"/>
          <w:sz w:val="22"/>
          <w:szCs w:val="22"/>
        </w:rPr>
        <w:t>probíhat</w:t>
      </w:r>
      <w:r w:rsidRPr="0038248D">
        <w:rPr>
          <w:rFonts w:ascii="Arial" w:hAnsi="Arial" w:cs="Arial"/>
          <w:sz w:val="22"/>
          <w:szCs w:val="22"/>
        </w:rPr>
        <w:t xml:space="preserve"> </w:t>
      </w:r>
      <w:r w:rsidRPr="0038248D">
        <w:rPr>
          <w:rFonts w:ascii="Arial" w:hAnsi="Arial" w:cs="Arial"/>
          <w:b/>
          <w:sz w:val="22"/>
          <w:szCs w:val="22"/>
          <w:u w:val="single"/>
        </w:rPr>
        <w:t>zjišťování průběhu hranic pozemků</w:t>
      </w:r>
      <w:r w:rsidRPr="0038248D">
        <w:rPr>
          <w:rFonts w:ascii="Arial" w:hAnsi="Arial" w:cs="Arial"/>
          <w:sz w:val="22"/>
          <w:szCs w:val="22"/>
        </w:rPr>
        <w:t xml:space="preserve"> řešených dle § 2 zákona</w:t>
      </w:r>
      <w:r w:rsidR="00BF304B">
        <w:rPr>
          <w:rFonts w:ascii="Arial" w:hAnsi="Arial" w:cs="Arial"/>
          <w:sz w:val="22"/>
          <w:szCs w:val="22"/>
        </w:rPr>
        <w:t xml:space="preserve"> </w:t>
      </w:r>
      <w:r w:rsidR="00BF304B" w:rsidRPr="0038248D">
        <w:rPr>
          <w:rFonts w:ascii="Arial" w:hAnsi="Arial" w:cs="Arial"/>
          <w:sz w:val="22"/>
          <w:szCs w:val="22"/>
        </w:rPr>
        <w:t xml:space="preserve">č. 139/2002 Sb. </w:t>
      </w:r>
      <w:r w:rsidR="00BF304B">
        <w:rPr>
          <w:rFonts w:ascii="Arial" w:hAnsi="Arial" w:cs="Arial"/>
          <w:sz w:val="22"/>
          <w:szCs w:val="22"/>
        </w:rPr>
        <w:t xml:space="preserve">o pozemkových úpravách a pozemkových úřadech, </w:t>
      </w:r>
      <w:r w:rsidR="00BF304B" w:rsidRPr="0038248D">
        <w:rPr>
          <w:rFonts w:ascii="Arial" w:hAnsi="Arial" w:cs="Arial"/>
          <w:sz w:val="22"/>
          <w:szCs w:val="22"/>
        </w:rPr>
        <w:t>v platném znění</w:t>
      </w:r>
      <w:r w:rsidRPr="0038248D">
        <w:rPr>
          <w:rFonts w:ascii="Arial" w:hAnsi="Arial" w:cs="Arial"/>
          <w:sz w:val="22"/>
          <w:szCs w:val="22"/>
        </w:rPr>
        <w:t>, které jsou hranicí vnitřního a vnějšího obvodu upravovaného území</w:t>
      </w:r>
      <w:r w:rsidR="00BF304B">
        <w:rPr>
          <w:rFonts w:ascii="Arial" w:hAnsi="Arial" w:cs="Arial"/>
          <w:sz w:val="22"/>
          <w:szCs w:val="22"/>
        </w:rPr>
        <w:t xml:space="preserve"> a</w:t>
      </w:r>
      <w:r w:rsidRPr="0038248D">
        <w:rPr>
          <w:rFonts w:ascii="Arial" w:hAnsi="Arial" w:cs="Arial"/>
          <w:sz w:val="22"/>
          <w:szCs w:val="22"/>
        </w:rPr>
        <w:t xml:space="preserve"> průběhu katastrálních hranic. Zjišťování hranic bude prováděno podle obecně závazných předpisů pro obnovu katastrálního operátu, zejména podle znění zákona č. 256/2013 Sb. o katastru nemovitostí (katastrální zákon) a vyhlášky č. 357/2013 Sb. o katastru nemovitostí (katastrální vyhláška). </w:t>
      </w:r>
    </w:p>
    <w:p w14:paraId="10B93A4F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Podkladem pro zjišťování hranic, které jsou obsahem katastru nemovitostí, je dosavadní katastrální operát a operáty dřívějších pozemkových evidencí. Při zjišťování hranic se vyšetřuje skutečný průběh hranice v terénu, který se porovnává s jejím zobrazením v těchto mapových operátech. Výsledky pozemkových úprav budou sloužit k obnově katastrálního operátu.</w:t>
      </w:r>
    </w:p>
    <w:p w14:paraId="2CFEA445" w14:textId="71BA815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8248D">
        <w:rPr>
          <w:rFonts w:ascii="Arial" w:hAnsi="Arial" w:cs="Arial"/>
          <w:sz w:val="22"/>
          <w:szCs w:val="22"/>
        </w:rPr>
        <w:t xml:space="preserve">Zjišťování průběhu hranic pro účely pozemkových úprav provádí komise složená z pracovníků pobočky, katastrálního úřadu, zpracovatele návrhu komplexních pozemkových úprav, zástupců dotčené obce a dalších úřadů. 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Předsedu komise a její členy jmenuje po dohodě s katastrálním úřadem </w:t>
      </w:r>
      <w:r w:rsidR="009B1CF4">
        <w:rPr>
          <w:rFonts w:ascii="Arial" w:hAnsi="Arial" w:cs="Arial"/>
          <w:sz w:val="22"/>
          <w:szCs w:val="22"/>
          <w:lang w:eastAsia="en-US"/>
        </w:rPr>
        <w:t>vedoucí Krajského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 pozemkového úřadu</w:t>
      </w:r>
      <w:r w:rsidR="009B1CF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E59CC">
        <w:rPr>
          <w:rFonts w:ascii="Arial" w:hAnsi="Arial" w:cs="Arial"/>
          <w:sz w:val="22"/>
          <w:szCs w:val="22"/>
          <w:lang w:eastAsia="en-US"/>
        </w:rPr>
        <w:t>pro Středočeský</w:t>
      </w:r>
      <w:r w:rsidR="009B1CF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E59CC">
        <w:rPr>
          <w:rFonts w:ascii="Arial" w:hAnsi="Arial" w:cs="Arial"/>
          <w:sz w:val="22"/>
          <w:szCs w:val="22"/>
          <w:lang w:eastAsia="en-US"/>
        </w:rPr>
        <w:t>kraj a</w:t>
      </w:r>
      <w:r w:rsidR="009B1CF4">
        <w:rPr>
          <w:rFonts w:ascii="Arial" w:hAnsi="Arial" w:cs="Arial"/>
          <w:sz w:val="22"/>
          <w:szCs w:val="22"/>
          <w:lang w:eastAsia="en-US"/>
        </w:rPr>
        <w:t xml:space="preserve"> hlavní město Praha, Pobočky Mělník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 (§ 9 odst. 5 zákona</w:t>
      </w:r>
      <w:r w:rsidR="009B1CF4">
        <w:rPr>
          <w:rFonts w:ascii="Arial" w:hAnsi="Arial" w:cs="Arial"/>
          <w:sz w:val="22"/>
          <w:szCs w:val="22"/>
          <w:lang w:eastAsia="en-US"/>
        </w:rPr>
        <w:t xml:space="preserve"> č. 139/2002 Sb.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). Komise při zjišťování hranic prověřuje i další údaje, které jsou obsahem katastru (např. údaje o </w:t>
      </w:r>
      <w:r w:rsidR="007E59CC" w:rsidRPr="0038248D">
        <w:rPr>
          <w:rFonts w:ascii="Arial" w:hAnsi="Arial" w:cs="Arial"/>
          <w:sz w:val="22"/>
          <w:szCs w:val="22"/>
          <w:lang w:eastAsia="en-US"/>
        </w:rPr>
        <w:t>vlastníku – jméno</w:t>
      </w:r>
      <w:r w:rsidRPr="0038248D">
        <w:rPr>
          <w:rFonts w:ascii="Arial" w:hAnsi="Arial" w:cs="Arial"/>
          <w:sz w:val="22"/>
          <w:szCs w:val="22"/>
          <w:lang w:eastAsia="en-US"/>
        </w:rPr>
        <w:t>, příjmení, datum narození</w:t>
      </w:r>
      <w:r w:rsidR="009B1CF4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38248D">
        <w:rPr>
          <w:rFonts w:ascii="Arial" w:hAnsi="Arial" w:cs="Arial"/>
          <w:sz w:val="22"/>
          <w:szCs w:val="22"/>
          <w:lang w:eastAsia="en-US"/>
        </w:rPr>
        <w:t>rodné číslo, adresa místa trvalého pobytu fyzické osoby, název, identifikační číslo a adresa sídla právnické osoby, druh pozemku, způsob jeho využití). O výsledku zjišťování hranic sepíše komise protokol.</w:t>
      </w:r>
    </w:p>
    <w:p w14:paraId="3FF0AE0D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38248D">
        <w:rPr>
          <w:rFonts w:ascii="Arial" w:hAnsi="Arial" w:cs="Arial"/>
          <w:sz w:val="22"/>
          <w:szCs w:val="22"/>
        </w:rPr>
        <w:t xml:space="preserve">Ke zjišťování průběhu hranic jsou zváni vlastníci pozemků v případech, kdy je jejich účast potřebná pro vyjasnění vlastnické hranice v terénu. </w:t>
      </w:r>
      <w:proofErr w:type="gramStart"/>
      <w:r w:rsidRPr="0038248D">
        <w:rPr>
          <w:rFonts w:ascii="Arial" w:hAnsi="Arial" w:cs="Arial"/>
          <w:sz w:val="22"/>
          <w:szCs w:val="22"/>
        </w:rPr>
        <w:t>Tvoří</w:t>
      </w:r>
      <w:proofErr w:type="gramEnd"/>
      <w:r w:rsidRPr="0038248D">
        <w:rPr>
          <w:rFonts w:ascii="Arial" w:hAnsi="Arial" w:cs="Arial"/>
          <w:sz w:val="22"/>
          <w:szCs w:val="22"/>
        </w:rPr>
        <w:t xml:space="preserve">-li hranici obvodu pozemkových úprav katastrální hranice, zvou se vždy zástupci sousedních obcí (rovněž vlastníci nemovitostí sousedících s tímto územím). Vlastníci a zástupci obcí jsou ke zjišťování hranic zváni písemnou pozvánkou tak, aby jim byla doručena nejméně týden předem, a jsou povinni se na výzvu pobočky tohoto jednání zúčastnit nebo na jednání vyslat svého zplnomocněného zástupce. </w:t>
      </w:r>
    </w:p>
    <w:p w14:paraId="0F521167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14:paraId="5A724660" w14:textId="77777777" w:rsidR="001F0B4D" w:rsidRPr="0038248D" w:rsidRDefault="001F0B4D" w:rsidP="009B1CF4">
      <w:pPr>
        <w:jc w:val="both"/>
        <w:rPr>
          <w:rFonts w:ascii="Arial" w:hAnsi="Arial" w:cs="Arial"/>
          <w:sz w:val="22"/>
          <w:szCs w:val="22"/>
          <w:u w:val="single"/>
        </w:rPr>
      </w:pPr>
      <w:r w:rsidRPr="0038248D">
        <w:rPr>
          <w:rFonts w:ascii="Arial" w:hAnsi="Arial" w:cs="Arial"/>
          <w:sz w:val="22"/>
          <w:szCs w:val="22"/>
          <w:u w:val="single"/>
        </w:rPr>
        <w:t>Upozorňujeme, že neúčast pozvaného vlastníka (popř. jím pověřeného zástupce) při jednání není na překážku využití výsledků zjišťování hranic.</w:t>
      </w:r>
    </w:p>
    <w:p w14:paraId="6D02C649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14:paraId="1E7DD090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14:paraId="5BB6E978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Vlastníci pozemků sloučených do větších celků se vyzývají, aby v zájmu správného doplnění hranic do katastru nemovitostí upozornili komisi na zachované úseky hranic pozemků, popř. na zachované hraniční znaky, o nichž vědí; jinak jsou podle rozhodnutí předsedy komise účastníky zjišťování průběhu hranic jen v rozsahu vlastnické hranice existující v terénu.</w:t>
      </w:r>
    </w:p>
    <w:p w14:paraId="13279389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14:paraId="7053BAAB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Členové komise pro zjišťování průběhu hranic jsou oprávněni po oznámení vstupovat a vjíždět v nezbytném rozsahu na nemovitosti, na nemovitost, která je oplocena, mohou vstoupit se souhlasem jejího vlastníka nebo oprávněného uživatele. Pověřený zaměstnanec orgánu státní správy a orgánu samosprávy prokazuje oprávnění ke vstupu na nemovitost služebním průkazem, ostatní oprávněné osoby se prokazují živnostenským listem k výkonu zeměměřických činností, popř. jeho ověřenou </w:t>
      </w:r>
      <w:r w:rsidRPr="0038248D">
        <w:rPr>
          <w:rFonts w:ascii="Arial" w:hAnsi="Arial" w:cs="Arial"/>
          <w:sz w:val="22"/>
          <w:szCs w:val="22"/>
        </w:rPr>
        <w:lastRenderedPageBreak/>
        <w:t>kopií. Vlastník nebo provozovatel zařízení, které může ohrozit život nebo zdraví je povinen poučit oprávněné osoby před vstupem do tohoto zařízení o bezpečnosti a ochraně zdraví při práci.</w:t>
      </w:r>
    </w:p>
    <w:p w14:paraId="572D3266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14:paraId="7BF34BB1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Oprávněné osoby mohou v nezbytném rozsahu užívat nemovitosti ke zřizování, udržování, přemisťování a obnovování měřických značek, signalizačních a ochranných zařízení bodového pole a vlastník nemovitosti nebo oprávněný uživatel je povinen strpět umístění značek na nemovitosti a zdržet se všeho, co by tyto značky mohlo poškodit, učinit nepouživatelnými nebo zničit (kdo poškodí, zničí nebo neoprávněně přemístí měřickou značku, se dopustí porušení pořádku na úseku zeměměřictví a může být za to pokutován).</w:t>
      </w:r>
    </w:p>
    <w:p w14:paraId="3FABC0EF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Oprávněné osoby jsou povinny šetřit práva a majetek vlastníka a oprávněného uživatele nemovitosti a po ukončení zeměměřické činnosti uvést nemovitost do původního stavu; přitom jsou povinny dbát, aby co nejméně rušily hospodaření a užívání nemovitosti. Mohou také, po předchozím upozornění, v nezbytném rozsahu provádět na vlastní náklad nutné úpravy terénu, oklešťovat a odstraňovat porosty překážející zeměměřickým činnostem a využívání značek.</w:t>
      </w:r>
    </w:p>
    <w:p w14:paraId="3B155F93" w14:textId="77777777" w:rsidR="001F0B4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14:paraId="3E006092" w14:textId="77777777" w:rsidR="009B1CF4" w:rsidRPr="0038248D" w:rsidRDefault="009B1CF4" w:rsidP="001F0B4D">
      <w:pPr>
        <w:jc w:val="both"/>
        <w:rPr>
          <w:rFonts w:ascii="Arial" w:hAnsi="Arial" w:cs="Arial"/>
          <w:sz w:val="22"/>
          <w:szCs w:val="22"/>
        </w:rPr>
      </w:pPr>
    </w:p>
    <w:p w14:paraId="2F859689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14:paraId="32ECC2EA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V ……</w:t>
      </w:r>
      <w:r w:rsidR="00FA14B6">
        <w:rPr>
          <w:rFonts w:ascii="Arial" w:hAnsi="Arial" w:cs="Arial"/>
          <w:sz w:val="22"/>
          <w:szCs w:val="22"/>
        </w:rPr>
        <w:t>……………</w:t>
      </w:r>
      <w:proofErr w:type="gramStart"/>
      <w:r w:rsidR="00FA14B6">
        <w:rPr>
          <w:rFonts w:ascii="Arial" w:hAnsi="Arial" w:cs="Arial"/>
          <w:sz w:val="22"/>
          <w:szCs w:val="22"/>
        </w:rPr>
        <w:t>…….</w:t>
      </w:r>
      <w:proofErr w:type="gramEnd"/>
      <w:r w:rsidR="00FA14B6">
        <w:rPr>
          <w:rFonts w:ascii="Arial" w:hAnsi="Arial" w:cs="Arial"/>
          <w:sz w:val="22"/>
          <w:szCs w:val="22"/>
        </w:rPr>
        <w:t>.</w:t>
      </w:r>
      <w:r w:rsidRPr="0038248D">
        <w:rPr>
          <w:rFonts w:ascii="Arial" w:hAnsi="Arial" w:cs="Arial"/>
          <w:sz w:val="22"/>
          <w:szCs w:val="22"/>
        </w:rPr>
        <w:t>………….. dne ………</w:t>
      </w:r>
      <w:proofErr w:type="gramStart"/>
      <w:r w:rsidR="00FA14B6">
        <w:rPr>
          <w:rFonts w:ascii="Arial" w:hAnsi="Arial" w:cs="Arial"/>
          <w:sz w:val="22"/>
          <w:szCs w:val="22"/>
        </w:rPr>
        <w:t>…….</w:t>
      </w:r>
      <w:proofErr w:type="gramEnd"/>
      <w:r w:rsidRPr="0038248D">
        <w:rPr>
          <w:rFonts w:ascii="Arial" w:hAnsi="Arial" w:cs="Arial"/>
          <w:sz w:val="22"/>
          <w:szCs w:val="22"/>
        </w:rPr>
        <w:t>……</w:t>
      </w:r>
    </w:p>
    <w:p w14:paraId="3FFE46E0" w14:textId="0ECB2268" w:rsidR="001F0B4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14:paraId="21F39F4A" w14:textId="77777777" w:rsidR="0008786A" w:rsidRPr="0038248D" w:rsidRDefault="0008786A" w:rsidP="001F0B4D">
      <w:pPr>
        <w:jc w:val="both"/>
        <w:rPr>
          <w:rFonts w:ascii="Arial" w:hAnsi="Arial" w:cs="Arial"/>
          <w:sz w:val="22"/>
          <w:szCs w:val="22"/>
        </w:rPr>
      </w:pPr>
    </w:p>
    <w:p w14:paraId="18F1DE3D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14:paraId="11E77BFE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88C6ABB" w14:textId="317C7617" w:rsidR="001F0B4D" w:rsidRPr="009B1CF4" w:rsidRDefault="001F0B4D" w:rsidP="001F0B4D">
      <w:pPr>
        <w:ind w:left="4320" w:firstLine="720"/>
        <w:jc w:val="center"/>
        <w:rPr>
          <w:rFonts w:ascii="Arial" w:hAnsi="Arial" w:cs="Arial"/>
          <w:sz w:val="22"/>
          <w:szCs w:val="22"/>
          <w:lang w:eastAsia="en-US"/>
        </w:rPr>
      </w:pPr>
      <w:r w:rsidRPr="0038248D">
        <w:rPr>
          <w:rFonts w:ascii="Arial" w:hAnsi="Arial" w:cs="Arial"/>
          <w:sz w:val="22"/>
          <w:szCs w:val="22"/>
        </w:rPr>
        <w:t xml:space="preserve">podpis starosty </w:t>
      </w:r>
      <w:r w:rsidR="0008786A">
        <w:rPr>
          <w:rFonts w:ascii="Arial" w:hAnsi="Arial" w:cs="Arial"/>
          <w:sz w:val="22"/>
          <w:szCs w:val="22"/>
        </w:rPr>
        <w:t>města</w:t>
      </w:r>
      <w:r w:rsidRPr="0038248D">
        <w:rPr>
          <w:rFonts w:ascii="Arial" w:hAnsi="Arial" w:cs="Arial"/>
          <w:sz w:val="22"/>
          <w:szCs w:val="22"/>
        </w:rPr>
        <w:t xml:space="preserve"> </w:t>
      </w:r>
      <w:r w:rsidR="009B1CF4">
        <w:rPr>
          <w:rFonts w:ascii="Arial" w:hAnsi="Arial" w:cs="Arial"/>
          <w:sz w:val="22"/>
          <w:szCs w:val="22"/>
        </w:rPr>
        <w:t>a</w:t>
      </w:r>
      <w:r w:rsidRPr="009B1CF4">
        <w:rPr>
          <w:rFonts w:ascii="Arial" w:hAnsi="Arial" w:cs="Arial"/>
          <w:iCs/>
          <w:sz w:val="22"/>
          <w:szCs w:val="22"/>
        </w:rPr>
        <w:t xml:space="preserve"> razítko</w:t>
      </w:r>
    </w:p>
    <w:p w14:paraId="3DE76F43" w14:textId="77777777" w:rsidR="001F0B4D" w:rsidRPr="0038248D" w:rsidRDefault="001F0B4D" w:rsidP="001F0B4D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2A42365" w14:textId="77777777" w:rsidR="001F0B4D" w:rsidRPr="0038248D" w:rsidRDefault="001F0B4D" w:rsidP="001F0B4D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22"/>
          <w:szCs w:val="22"/>
        </w:rPr>
      </w:pPr>
    </w:p>
    <w:p w14:paraId="1DEED387" w14:textId="77777777" w:rsidR="001F0B4D" w:rsidRPr="0038248D" w:rsidRDefault="001F0B4D" w:rsidP="001F0B4D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22"/>
          <w:szCs w:val="22"/>
        </w:rPr>
      </w:pPr>
    </w:p>
    <w:p w14:paraId="6E35A301" w14:textId="77777777" w:rsidR="001F0B4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14:paraId="1ABB49B6" w14:textId="77777777" w:rsidR="009B1CF4" w:rsidRDefault="009B1CF4" w:rsidP="001F0B4D">
      <w:pPr>
        <w:jc w:val="both"/>
        <w:rPr>
          <w:rFonts w:ascii="Arial" w:hAnsi="Arial" w:cs="Arial"/>
          <w:sz w:val="22"/>
          <w:szCs w:val="22"/>
        </w:rPr>
      </w:pPr>
    </w:p>
    <w:p w14:paraId="1E0797C5" w14:textId="77777777" w:rsidR="009B1CF4" w:rsidRPr="0038248D" w:rsidRDefault="009B1CF4" w:rsidP="001F0B4D">
      <w:pPr>
        <w:jc w:val="both"/>
        <w:rPr>
          <w:rFonts w:ascii="Arial" w:hAnsi="Arial" w:cs="Arial"/>
          <w:sz w:val="22"/>
          <w:szCs w:val="22"/>
        </w:rPr>
      </w:pPr>
    </w:p>
    <w:p w14:paraId="24563370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.........................................                                                                ....................................</w:t>
      </w:r>
    </w:p>
    <w:p w14:paraId="1A00257C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    datum vyvěšení                                                                                 datum sejmutí</w:t>
      </w:r>
    </w:p>
    <w:p w14:paraId="12AAB8B4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14:paraId="3A7C7CC6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14:paraId="54CB9849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14:paraId="219E18FD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9316E09" w14:textId="77777777"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  <w:t>(razítko a podpis)</w:t>
      </w:r>
    </w:p>
    <w:p w14:paraId="08573E18" w14:textId="77777777" w:rsidR="001F0B4D" w:rsidRDefault="001F0B4D" w:rsidP="001F0B4D">
      <w:pPr>
        <w:tabs>
          <w:tab w:val="left" w:pos="709"/>
          <w:tab w:val="right" w:pos="9072"/>
        </w:tabs>
        <w:ind w:right="-397"/>
        <w:rPr>
          <w:b/>
          <w:sz w:val="44"/>
          <w:szCs w:val="44"/>
        </w:rPr>
      </w:pPr>
    </w:p>
    <w:p w14:paraId="15F5C4A3" w14:textId="77777777" w:rsidR="004754A9" w:rsidRDefault="004754A9"/>
    <w:sectPr w:rsidR="004754A9" w:rsidSect="001F0B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4D"/>
    <w:rsid w:val="0008786A"/>
    <w:rsid w:val="000B324F"/>
    <w:rsid w:val="000F1097"/>
    <w:rsid w:val="001F0B4D"/>
    <w:rsid w:val="00434A58"/>
    <w:rsid w:val="004754A9"/>
    <w:rsid w:val="004D3E75"/>
    <w:rsid w:val="004F6C1C"/>
    <w:rsid w:val="0057675D"/>
    <w:rsid w:val="0059117A"/>
    <w:rsid w:val="00695D54"/>
    <w:rsid w:val="007E59CC"/>
    <w:rsid w:val="009B1CF4"/>
    <w:rsid w:val="00B4751F"/>
    <w:rsid w:val="00B858F6"/>
    <w:rsid w:val="00BF304B"/>
    <w:rsid w:val="00D25F8A"/>
    <w:rsid w:val="00E65E6E"/>
    <w:rsid w:val="00F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A1EB"/>
  <w15:chartTrackingRefBased/>
  <w15:docId w15:val="{7970F88B-774E-4344-9C15-379D15B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Gabriela</dc:creator>
  <cp:keywords/>
  <dc:description/>
  <cp:lastModifiedBy>Poláková Gabriela</cp:lastModifiedBy>
  <cp:revision>6</cp:revision>
  <dcterms:created xsi:type="dcterms:W3CDTF">2022-11-07T10:52:00Z</dcterms:created>
  <dcterms:modified xsi:type="dcterms:W3CDTF">2022-11-07T10:55:00Z</dcterms:modified>
</cp:coreProperties>
</file>